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28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D92D4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ABRIL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58070B">
        <w:rPr>
          <w:rFonts w:eastAsia="Lucida Sans Unicode" w:cs="Arial"/>
          <w:kern w:val="2"/>
          <w:sz w:val="24"/>
          <w:szCs w:val="24"/>
          <w:lang w:eastAsia="pt-BR"/>
        </w:rPr>
        <w:t>105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Extrao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0A4324">
        <w:rPr>
          <w:rFonts w:eastAsia="Lucida Sans Unicode" w:cs="Arial"/>
          <w:iCs/>
          <w:kern w:val="1"/>
          <w:sz w:val="24"/>
          <w:szCs w:val="24"/>
        </w:rPr>
        <w:t>abril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>a Lei de Diretrizes Orçamentárias 2021 (LDO);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B016A">
        <w:rPr>
          <w:rFonts w:eastAsia="Lucida Sans Unicode" w:cs="Arial"/>
          <w:iCs/>
          <w:kern w:val="1"/>
          <w:sz w:val="24"/>
          <w:szCs w:val="24"/>
        </w:rPr>
        <w:t>abril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58070B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50</cp:revision>
  <dcterms:created xsi:type="dcterms:W3CDTF">2018-01-31T13:54:00Z</dcterms:created>
  <dcterms:modified xsi:type="dcterms:W3CDTF">2020-04-29T13:59:00Z</dcterms:modified>
</cp:coreProperties>
</file>