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EDITAL PÚBLICO Nº 21/2023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PROJETOS CULTURAIS – CONTEÚDO DIGITAL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32"/>
          <w:szCs w:val="32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CRITÉRIOS DE AVALIAÇÃO TÉCNICA E ARTÍSTICA DOS EDITAIS: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Serão critérios gerais de avaliação deste Edital: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Diversidade e relevância artística da proposta: cuidados com a excelência estética, abrangência dos conteúdos e expressões da diversidade cultural e artística contemporânea apresentada pelos projetos, e afinidade dos conteúdos da proposta com as políticas afirmativas promovidas pelo edital </w:t>
      </w:r>
      <w:r w:rsidDel="00000000" w:rsidR="00000000" w:rsidRPr="00000000">
        <w:rPr>
          <w:b w:val="1"/>
          <w:color w:val="000000"/>
          <w:rtl w:val="0"/>
        </w:rPr>
        <w:t xml:space="preserve">(0 a 20 pontos);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Interesse público do projeto: impactos positivos que a realização da ação promoverá ao cenário social e artístico-cultural do município </w:t>
      </w:r>
      <w:r w:rsidDel="00000000" w:rsidR="00000000" w:rsidRPr="00000000">
        <w:rPr>
          <w:b w:val="1"/>
          <w:color w:val="000000"/>
          <w:rtl w:val="0"/>
        </w:rPr>
        <w:t xml:space="preserve">(0 a 20 pontos);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Histórico de realizações e valor midiático do grupo/ artista/ game designer que terá sua obra produzida </w:t>
      </w:r>
      <w:r w:rsidDel="00000000" w:rsidR="00000000" w:rsidRPr="00000000">
        <w:rPr>
          <w:b w:val="1"/>
          <w:color w:val="000000"/>
          <w:rtl w:val="0"/>
        </w:rPr>
        <w:t xml:space="preserve">(0 a 20 pontos);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Consistência e viabilidade no planejamento da execução da proposta: coerência entre as ações propostas e o cronograma orçamentário para a execução do projeto </w:t>
      </w:r>
      <w:r w:rsidDel="00000000" w:rsidR="00000000" w:rsidRPr="00000000">
        <w:rPr>
          <w:b w:val="1"/>
          <w:color w:val="000000"/>
          <w:rtl w:val="0"/>
        </w:rPr>
        <w:t xml:space="preserve">(0 a 15 pontos);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Análise do currículo e experiência do proponente: capacidade técnica comprovada do proponente e da equipe de realização </w:t>
      </w:r>
      <w:r w:rsidDel="00000000" w:rsidR="00000000" w:rsidRPr="00000000">
        <w:rPr>
          <w:b w:val="1"/>
          <w:color w:val="000000"/>
          <w:rtl w:val="0"/>
        </w:rPr>
        <w:t xml:space="preserve">(0 a 15 pontos),</w:t>
      </w:r>
      <w:r w:rsidDel="00000000" w:rsidR="00000000" w:rsidRPr="00000000">
        <w:rPr>
          <w:color w:val="000000"/>
          <w:rtl w:val="0"/>
        </w:rPr>
        <w:t xml:space="preserve">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68" w:hanging="360"/>
        <w:rPr/>
      </w:pPr>
      <w:r w:rsidDel="00000000" w:rsidR="00000000" w:rsidRPr="00000000">
        <w:rPr>
          <w:color w:val="000000"/>
          <w:rtl w:val="0"/>
        </w:rPr>
        <w:t xml:space="preserve">Proposta de contrapartida: ações propostas no projeto que visam o acesso aos bens, produtos e serviços culturais a camadas da população menos assistidas ou excluídas do exercício de seus direitos culturais por sua condição socioeconômica, etnia, deficiência, gênero, faixa etária, domicílio e ocupação; ações que facilitem o livre acesso de idosos e pessoas com deficiência ou mobilidade reduzida e/ou medidas de acessibilidade comunicacional </w:t>
      </w:r>
      <w:r w:rsidDel="00000000" w:rsidR="00000000" w:rsidRPr="00000000">
        <w:rPr>
          <w:b w:val="1"/>
          <w:color w:val="000000"/>
          <w:rtl w:val="0"/>
        </w:rPr>
        <w:t xml:space="preserve">(0 a 10 pontos).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Além da pontuação acima, o proponente pode receber pontuação extra baseada na diretriz de políticas afirmativas do Edital, de forma acumulativa, não excedendo no máximo os 10 pontos de bonificação:  </w:t>
      </w:r>
    </w:p>
    <w:p w:rsidR="00000000" w:rsidDel="00000000" w:rsidP="00000000" w:rsidRDefault="00000000" w:rsidRPr="00000000" w14:paraId="00000010">
      <w:pPr>
        <w:spacing w:after="0" w:line="240" w:lineRule="auto"/>
        <w:ind w:right="120"/>
        <w:jc w:val="both"/>
        <w:rPr>
          <w:rFonts w:ascii="Calibri" w:cs="Calibri" w:eastAsia="Calibri" w:hAnsi="Calibri"/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4.0" w:type="dxa"/>
        <w:jc w:val="left"/>
        <w:tblInd w:w="-100.0" w:type="dxa"/>
        <w:tblLayout w:type="fixed"/>
        <w:tblLook w:val="0400"/>
      </w:tblPr>
      <w:tblGrid>
        <w:gridCol w:w="4810"/>
        <w:gridCol w:w="3544"/>
        <w:tblGridChange w:id="0">
          <w:tblGrid>
            <w:gridCol w:w="4810"/>
            <w:gridCol w:w="3544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EXTRA PARA PROTAGONISTAS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Proponentes do gênero 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Proponentes negros, pardos e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Proponentes 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Proponente LGBTQIAPN+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pontuação final de cada projeto será a somatória dos pontos totais de cada parecerista da análise de mérito dividida por três, acrescida com a pontuação extra distribuída pelas políticas afirmativas.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critérios gerais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 caso de empate, serão utilizados para fins de classificação dos projetos a maior nota nos critérios de acordo com a ordem abaixo definida: A, B, C, D, E, F respectivamente. 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416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- Receberem nota 0 em qualquer dos critérios obrigatórios;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416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– Receberem nota final inferior a 50 pontos;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416" w:right="1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III - Apresentem quaisquer formas de preconceito de origem, raça, etnia, gênero, cor, idade ou outras formas de discriminação serão desclassificadas, com fundamento no disposto no 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falsidade de informações acarretará desclassificação, podendo ensejar, ainda, a aplicação de sanções administrativas ou criminais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lowerLetter"/>
      <w:lvlText w:val="%1-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6r7kC73124zROpctYS5NXSPJSA==">CgMxLjA4AHIhMS1UVmd1cjJQeEk0aHZEbDdEY0ktT1lnb1lTSUVoellk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2023-09-09T19:39:00Z</dcterms:created>
  <dc:creator>Laís Alves Valente</dc:creator>
</cp:coreProperties>
</file>